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contextualSpacing/>
        <w:keepNext w:val="0"/>
        <w:widowControl w:val="off"/>
        <w:rPr>
          <w:b/>
          <w:bCs/>
          <w:spacing w:val="20"/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2804795</wp:posOffset>
                </wp:positionH>
                <wp:positionV relativeFrom="page">
                  <wp:posOffset>436880</wp:posOffset>
                </wp:positionV>
                <wp:extent cx="627380" cy="79311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27380" cy="793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20.85pt;mso-position-horizontal:absolute;mso-position-vertical-relative:page;margin-top:34.40pt;mso-position-vertical:absolute;width:49.40pt;height:62.45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spacing w:val="20"/>
          <w:sz w:val="24"/>
        </w:rPr>
      </w:r>
      <w:r>
        <w:rPr>
          <w:b/>
          <w:bCs/>
          <w:spacing w:val="20"/>
          <w:sz w:val="24"/>
        </w:rPr>
      </w:r>
    </w:p>
    <w:p>
      <w:pPr>
        <w:pStyle w:val="855"/>
        <w:contextualSpacing/>
        <w:keepNext w:val="0"/>
        <w:widowControl w:val="off"/>
        <w:rPr>
          <w:b/>
          <w:bCs/>
          <w:spacing w:val="20"/>
          <w:sz w:val="24"/>
        </w:rPr>
      </w:pPr>
      <w:r>
        <w:rPr>
          <w:b/>
          <w:bCs/>
          <w:spacing w:val="20"/>
          <w:sz w:val="24"/>
        </w:rPr>
      </w:r>
      <w:r>
        <w:rPr>
          <w:b/>
          <w:bCs/>
          <w:spacing w:val="20"/>
          <w:sz w:val="24"/>
        </w:rPr>
      </w:r>
      <w:r>
        <w:rPr>
          <w:b/>
          <w:bCs/>
          <w:spacing w:val="20"/>
          <w:sz w:val="24"/>
        </w:rPr>
      </w:r>
    </w:p>
    <w:p>
      <w:pPr>
        <w:pStyle w:val="854"/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855"/>
        <w:contextualSpacing/>
        <w:keepNext w:val="0"/>
        <w:widowControl w:val="off"/>
        <w:rPr>
          <w:b/>
          <w:bCs/>
          <w:spacing w:val="32"/>
          <w:sz w:val="18"/>
          <w:szCs w:val="18"/>
        </w:rPr>
      </w:pPr>
      <w:r>
        <w:rPr>
          <w:b/>
          <w:bCs/>
          <w:spacing w:val="32"/>
          <w:sz w:val="18"/>
          <w:szCs w:val="18"/>
        </w:rPr>
      </w:r>
      <w:r>
        <w:rPr>
          <w:b/>
          <w:bCs/>
          <w:spacing w:val="32"/>
          <w:sz w:val="18"/>
          <w:szCs w:val="18"/>
        </w:rPr>
      </w:r>
      <w:r>
        <w:rPr>
          <w:b/>
          <w:bCs/>
          <w:spacing w:val="32"/>
          <w:sz w:val="18"/>
          <w:szCs w:val="18"/>
        </w:rPr>
      </w:r>
    </w:p>
    <w:p>
      <w:pPr>
        <w:pStyle w:val="855"/>
        <w:contextualSpacing/>
        <w:keepNext w:val="0"/>
        <w:widowControl w:val="off"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</w:rPr>
        <w:t xml:space="preserve">АДМИНИСТРАЦИЯ</w:t>
      </w: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</w:p>
    <w:p>
      <w:pPr>
        <w:pStyle w:val="854"/>
        <w:contextualSpacing/>
        <w:jc w:val="center"/>
        <w:spacing w:after="0" w:line="288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55"/>
        <w:contextualSpacing/>
        <w:keepNext w:val="0"/>
        <w:widowControl w:val="off"/>
        <w:rPr>
          <w:b/>
          <w:bCs/>
          <w:spacing w:val="26"/>
          <w:sz w:val="28"/>
          <w:szCs w:val="28"/>
        </w:rPr>
      </w:pPr>
      <w:r>
        <w:rPr>
          <w:b/>
          <w:bCs/>
          <w:spacing w:val="26"/>
          <w:sz w:val="28"/>
          <w:szCs w:val="28"/>
        </w:rPr>
        <w:t xml:space="preserve">АРТЕМОВСКОГО ГОРОДСКОГО</w:t>
      </w:r>
      <w:r>
        <w:rPr>
          <w:b/>
          <w:bCs/>
          <w:spacing w:val="26"/>
          <w:sz w:val="28"/>
          <w:szCs w:val="28"/>
        </w:rPr>
        <w:t xml:space="preserve"> ОКРУГА</w:t>
      </w:r>
      <w:r>
        <w:rPr>
          <w:b/>
          <w:bCs/>
          <w:spacing w:val="26"/>
          <w:sz w:val="28"/>
          <w:szCs w:val="28"/>
        </w:rPr>
      </w:r>
      <w:r>
        <w:rPr>
          <w:b/>
          <w:bCs/>
          <w:spacing w:val="26"/>
          <w:sz w:val="28"/>
          <w:szCs w:val="28"/>
        </w:rPr>
      </w:r>
    </w:p>
    <w:p>
      <w:pPr>
        <w:pStyle w:val="854"/>
        <w:contextualSpacing/>
        <w:jc w:val="center"/>
        <w:spacing w:after="0" w:line="288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56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РАСПОРЯЖЕНИЕ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pStyle w:val="854"/>
        <w:contextualSpacing/>
        <w:jc w:val="center"/>
        <w:spacing w:after="0" w:line="288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854"/>
        <w:contextualSpacing/>
        <w:jc w:val="both"/>
        <w:spacing w:after="0" w:line="24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…</w:t>
      </w:r>
      <w:r>
        <w:rPr>
          <w:rFonts w:ascii="Times New Roman" w:hAnsi="Times New Roman"/>
          <w:sz w:val="28"/>
          <w:szCs w:val="28"/>
        </w:rPr>
        <w:t xml:space="preserve"> … …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  А р т е м</w:t>
      </w:r>
      <w:r>
        <w:rPr>
          <w:rFonts w:ascii="Times New Roman" w:hAnsi="Times New Roman"/>
          <w:spacing w:val="40"/>
          <w:sz w:val="28"/>
          <w:szCs w:val="28"/>
        </w:rPr>
        <w:t xml:space="preserve">  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40"/>
          <w:sz w:val="28"/>
          <w:szCs w:val="28"/>
        </w:rPr>
        <w:t xml:space="preserve">   </w:t>
      </w:r>
      <w:r>
        <w:rPr>
          <w:rFonts w:ascii="Times New Roman" w:hAnsi="Times New Roman"/>
          <w:spacing w:val="40"/>
          <w:sz w:val="28"/>
          <w:szCs w:val="28"/>
        </w:rPr>
        <w:t xml:space="preserve">  </w:t>
      </w:r>
      <w:r>
        <w:rPr>
          <w:rFonts w:ascii="Times New Roman" w:hAnsi="Times New Roman"/>
          <w:spacing w:val="40"/>
          <w:sz w:val="28"/>
          <w:szCs w:val="28"/>
        </w:rPr>
        <w:t xml:space="preserve">№</w:t>
      </w:r>
      <w:r>
        <w:rPr>
          <w:rFonts w:ascii="Times New Roman" w:hAnsi="Times New Roman"/>
          <w:spacing w:val="40"/>
          <w:sz w:val="28"/>
          <w:szCs w:val="28"/>
        </w:rPr>
        <w:t xml:space="preserve">………</w:t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pStyle w:val="854"/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pStyle w:val="854"/>
        <w:jc w:val="both"/>
        <w:spacing w:after="0" w:line="24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плана мероприятий («дорожной карты») по снижению рисков нарушения антимонопольного законодательства, карты комплаенс-</w:t>
      </w:r>
      <w:r>
        <w:rPr>
          <w:rFonts w:ascii="Times New Roman" w:hAnsi="Times New Roman"/>
          <w:sz w:val="28"/>
          <w:szCs w:val="28"/>
        </w:rPr>
        <w:t xml:space="preserve">рисков нарушени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антимонопольно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законодательства и перечня ключевых показателей эффек</w:t>
      </w:r>
      <w:r>
        <w:rPr>
          <w:rFonts w:ascii="Times New Roman" w:hAnsi="Times New Roman"/>
          <w:sz w:val="28"/>
          <w:szCs w:val="28"/>
        </w:rPr>
        <w:t xml:space="preserve">тивности функционирования </w:t>
      </w:r>
      <w:r>
        <w:rPr>
          <w:rFonts w:ascii="Times New Roman" w:hAnsi="Times New Roman"/>
          <w:sz w:val="28"/>
          <w:szCs w:val="28"/>
        </w:rPr>
        <w:t xml:space="preserve">антимонопольного комплаенса в сфере жилищно-коммунального хозяйства на 20</w:t>
      </w:r>
      <w:r>
        <w:rPr>
          <w:rFonts w:ascii="Times New Roman" w:hAnsi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24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24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Указом През</w:t>
      </w:r>
      <w:r>
        <w:rPr>
          <w:rFonts w:ascii="Times New Roman" w:hAnsi="Times New Roman"/>
          <w:sz w:val="28"/>
          <w:szCs w:val="28"/>
        </w:rPr>
        <w:t xml:space="preserve">идента Российской Федерации                           </w:t>
      </w:r>
      <w:r>
        <w:rPr>
          <w:rFonts w:ascii="Times New Roman" w:hAnsi="Times New Roman"/>
          <w:sz w:val="28"/>
          <w:szCs w:val="28"/>
        </w:rPr>
        <w:t xml:space="preserve">от 21.12.2017 № 618 «Об основных направлениях государственной политики по развитию конкуренции»,</w:t>
      </w:r>
      <w:r>
        <w:rPr>
          <w:rFonts w:ascii="Times New Roman" w:hAnsi="Times New Roman"/>
          <w:sz w:val="28"/>
          <w:szCs w:val="28"/>
        </w:rPr>
        <w:t xml:space="preserve"> распоряжением Правительства Российской Федерации от 18.10.2018 № 2258-ра «Об утверждении</w:t>
      </w:r>
      <w:r>
        <w:rPr>
          <w:rFonts w:ascii="Times New Roman" w:hAnsi="Times New Roman"/>
          <w:sz w:val="28"/>
          <w:szCs w:val="28"/>
        </w:rPr>
        <w:t xml:space="preserve">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законодательства», распоряжением Губернатора Приморского края от 28.02.2019 № 52-рг «</w:t>
      </w:r>
      <w:r>
        <w:rPr>
          <w:rFonts w:ascii="Times New Roman" w:hAnsi="Times New Roman"/>
          <w:sz w:val="28"/>
          <w:szCs w:val="28"/>
        </w:rPr>
        <w:t xml:space="preserve">О мерах по созданию и организации системы внутреннего обеспечения соответствия требованиям антимонопольного законодательства деятельности органов исполни</w:t>
      </w:r>
      <w:r>
        <w:rPr>
          <w:rFonts w:ascii="Times New Roman" w:hAnsi="Times New Roman"/>
          <w:sz w:val="28"/>
          <w:szCs w:val="28"/>
        </w:rPr>
        <w:t xml:space="preserve">тельной власти Приморского края», </w:t>
      </w:r>
      <w:r>
        <w:rPr>
          <w:rFonts w:ascii="Times New Roman" w:hAnsi="Times New Roman"/>
          <w:sz w:val="28"/>
          <w:szCs w:val="28"/>
        </w:rPr>
        <w:t xml:space="preserve">в целях реализации распоряжения </w:t>
      </w:r>
      <w:r>
        <w:rPr>
          <w:rFonts w:ascii="Times New Roman" w:hAnsi="Times New Roman"/>
          <w:sz w:val="28"/>
          <w:szCs w:val="28"/>
        </w:rPr>
        <w:t xml:space="preserve">администрации Артемовского городского округа от 13.05.2020 № 345-ра «Об организации в администрации Артемовского городского округа системы внутреннего обеспечения соответствия требованиям антимонопольного законодательства», </w:t>
      </w:r>
      <w:r>
        <w:rPr>
          <w:rFonts w:ascii="Times New Roman" w:hAnsi="Times New Roman"/>
          <w:sz w:val="28"/>
          <w:szCs w:val="28"/>
        </w:rPr>
        <w:t xml:space="preserve">руководствуясь Уставом Артёмовского горо</w:t>
      </w:r>
      <w:r>
        <w:rPr>
          <w:rFonts w:ascii="Times New Roman" w:hAnsi="Times New Roman"/>
          <w:sz w:val="28"/>
          <w:szCs w:val="28"/>
        </w:rPr>
        <w:t xml:space="preserve">дского округа Приморского края,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240" w:lineRule="auto"/>
        <w:widowControl w:val="off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widowControl w:val="off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план мероприятий («дорожную карту») по снижению рисков нарушения антимонопольного законодательства в сфере жилищно-ко</w:t>
      </w:r>
      <w:r>
        <w:rPr>
          <w:rFonts w:ascii="Times New Roman" w:hAnsi="Times New Roman"/>
          <w:sz w:val="28"/>
          <w:szCs w:val="28"/>
        </w:rPr>
        <w:t xml:space="preserve">ммунального хозяйства на </w:t>
      </w:r>
      <w:r>
        <w:rPr>
          <w:rFonts w:ascii="Times New Roman" w:hAnsi="Times New Roman"/>
          <w:sz w:val="28"/>
          <w:szCs w:val="28"/>
        </w:rPr>
        <w:t xml:space="preserve">20</w:t>
      </w:r>
      <w:r>
        <w:rPr>
          <w:rFonts w:ascii="Times New Roman" w:hAnsi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год (приложение 1).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карту комплаенс-рисков нарушения антимонопольного законодательства в сфере жилищно-коммунального хозяйства на 2025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 (приложение 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ключевые показатели эффективност</w:t>
      </w:r>
      <w:r>
        <w:rPr>
          <w:rFonts w:ascii="Times New Roman" w:hAnsi="Times New Roman"/>
          <w:sz w:val="28"/>
          <w:szCs w:val="28"/>
        </w:rPr>
        <w:t xml:space="preserve">и функционирования антимонополь</w:t>
      </w:r>
      <w:r>
        <w:rPr>
          <w:rFonts w:ascii="Times New Roman" w:hAnsi="Times New Roman"/>
          <w:sz w:val="28"/>
          <w:szCs w:val="28"/>
        </w:rPr>
        <w:t xml:space="preserve">ного комплаенса в сфере жилищно-коммунального хозяйства на 20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год (приложение 3).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Разместить данное распоряжение на официальном сайте Артемовского городского округа.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ind w:firstLine="709"/>
        <w:jc w:val="both"/>
        <w:spacing w:after="0" w:line="360" w:lineRule="auto"/>
        <w:tabs>
          <w:tab w:val="left" w:pos="54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Контроль за исполнением настоящего распоряжен</w:t>
      </w:r>
      <w:r>
        <w:rPr>
          <w:rFonts w:ascii="Times New Roman" w:hAnsi="Times New Roman"/>
          <w:sz w:val="28"/>
          <w:szCs w:val="28"/>
        </w:rPr>
        <w:t xml:space="preserve">ия возложить на первого замести</w:t>
      </w:r>
      <w:r>
        <w:rPr>
          <w:rFonts w:ascii="Times New Roman" w:hAnsi="Times New Roman"/>
          <w:sz w:val="28"/>
          <w:szCs w:val="28"/>
        </w:rPr>
        <w:t xml:space="preserve">теля главы администрации Артемовского городского округа Воркову В.А.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contextualSpacing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contextualSpacing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contextualSpacing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4"/>
        <w:contextualSpacing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Артемовского городского округа</w:t>
      </w: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В.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Квон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6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paragraph" w:styleId="855">
    <w:name w:val="Заголовок 2"/>
    <w:basedOn w:val="854"/>
    <w:next w:val="854"/>
    <w:link w:val="860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 w:cs="Times New Roman"/>
      <w:sz w:val="36"/>
      <w:szCs w:val="20"/>
      <w:lang w:eastAsia="ru-RU"/>
    </w:rPr>
  </w:style>
  <w:style w:type="paragraph" w:styleId="856">
    <w:name w:val="Заголовок 3"/>
    <w:basedOn w:val="854"/>
    <w:next w:val="854"/>
    <w:link w:val="861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857">
    <w:name w:val="Основной шрифт абзаца"/>
    <w:next w:val="857"/>
    <w:link w:val="854"/>
    <w:uiPriority w:val="1"/>
    <w:unhideWhenUsed/>
  </w:style>
  <w:style w:type="table" w:styleId="858">
    <w:name w:val="Обычная таблица"/>
    <w:next w:val="858"/>
    <w:link w:val="854"/>
    <w:uiPriority w:val="99"/>
    <w:semiHidden/>
    <w:unhideWhenUsed/>
    <w:tblPr/>
  </w:style>
  <w:style w:type="numbering" w:styleId="859">
    <w:name w:val="Нет списка"/>
    <w:next w:val="859"/>
    <w:link w:val="854"/>
    <w:uiPriority w:val="99"/>
    <w:semiHidden/>
    <w:unhideWhenUsed/>
  </w:style>
  <w:style w:type="character" w:styleId="860">
    <w:name w:val="Заголовок 2 Знак"/>
    <w:next w:val="860"/>
    <w:link w:val="855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61">
    <w:name w:val="Заголовок 3 Знак"/>
    <w:next w:val="861"/>
    <w:link w:val="856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62">
    <w:name w:val="Сетка таблицы"/>
    <w:basedOn w:val="858"/>
    <w:next w:val="862"/>
    <w:link w:val="854"/>
    <w:uiPriority w:val="59"/>
    <w:pPr>
      <w:spacing w:after="0" w:line="240" w:lineRule="auto"/>
    </w:pPr>
    <w:tblPr/>
  </w:style>
  <w:style w:type="paragraph" w:styleId="863">
    <w:name w:val="Абзац списка"/>
    <w:basedOn w:val="854"/>
    <w:next w:val="863"/>
    <w:link w:val="854"/>
    <w:uiPriority w:val="34"/>
    <w:qFormat/>
    <w:pPr>
      <w:contextualSpacing/>
      <w:ind w:left="720"/>
    </w:pPr>
  </w:style>
  <w:style w:type="paragraph" w:styleId="864">
    <w:name w:val="ConsPlusNormal"/>
    <w:next w:val="864"/>
    <w:link w:val="854"/>
    <w:pPr>
      <w:widowControl w:val="off"/>
    </w:pPr>
    <w:rPr>
      <w:rFonts w:ascii="Arial" w:hAnsi="Arial" w:eastAsia="Times New Roman" w:cs="Arial"/>
      <w:lang w:val="ru-RU" w:eastAsia="ru-RU" w:bidi="ar-SA"/>
    </w:rPr>
  </w:style>
  <w:style w:type="character" w:styleId="865">
    <w:name w:val="highlighted"/>
    <w:basedOn w:val="857"/>
    <w:next w:val="865"/>
    <w:link w:val="854"/>
  </w:style>
  <w:style w:type="paragraph" w:styleId="866">
    <w:name w:val="style7"/>
    <w:basedOn w:val="854"/>
    <w:next w:val="866"/>
    <w:link w:val="8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7">
    <w:name w:val="Гиперссылка"/>
    <w:next w:val="867"/>
    <w:link w:val="854"/>
    <w:uiPriority w:val="99"/>
    <w:semiHidden/>
    <w:unhideWhenUsed/>
    <w:rPr>
      <w:color w:val="0000ff"/>
      <w:u w:val="single"/>
    </w:rPr>
  </w:style>
  <w:style w:type="paragraph" w:styleId="868">
    <w:name w:val="style10"/>
    <w:basedOn w:val="854"/>
    <w:next w:val="868"/>
    <w:link w:val="8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9">
    <w:name w:val="Верхний колонтитул"/>
    <w:basedOn w:val="854"/>
    <w:next w:val="869"/>
    <w:link w:val="87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0">
    <w:name w:val="Верхний колонтитул Знак"/>
    <w:basedOn w:val="857"/>
    <w:next w:val="870"/>
    <w:link w:val="869"/>
    <w:uiPriority w:val="99"/>
  </w:style>
  <w:style w:type="paragraph" w:styleId="871">
    <w:name w:val="Нижний колонтитул"/>
    <w:basedOn w:val="854"/>
    <w:next w:val="871"/>
    <w:link w:val="8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2">
    <w:name w:val="Нижний колонтитул Знак"/>
    <w:basedOn w:val="857"/>
    <w:next w:val="872"/>
    <w:link w:val="871"/>
    <w:uiPriority w:val="99"/>
  </w:style>
  <w:style w:type="character" w:styleId="873">
    <w:name w:val="Строгий"/>
    <w:next w:val="873"/>
    <w:link w:val="854"/>
    <w:uiPriority w:val="22"/>
    <w:qFormat/>
    <w:rPr>
      <w:b/>
      <w:bCs/>
    </w:rPr>
  </w:style>
  <w:style w:type="paragraph" w:styleId="874">
    <w:name w:val="Текст выноски"/>
    <w:basedOn w:val="854"/>
    <w:next w:val="874"/>
    <w:link w:val="87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5">
    <w:name w:val="Текст выноски Знак"/>
    <w:next w:val="875"/>
    <w:link w:val="874"/>
    <w:uiPriority w:val="99"/>
    <w:semiHidden/>
    <w:rPr>
      <w:rFonts w:ascii="Segoe UI" w:hAnsi="Segoe UI" w:cs="Segoe UI"/>
      <w:sz w:val="18"/>
      <w:szCs w:val="18"/>
    </w:rPr>
  </w:style>
  <w:style w:type="character" w:styleId="876" w:default="1">
    <w:name w:val="Default Paragraph Font"/>
    <w:uiPriority w:val="1"/>
    <w:semiHidden/>
    <w:unhideWhenUsed/>
  </w:style>
  <w:style w:type="numbering" w:styleId="877" w:default="1">
    <w:name w:val="No List"/>
    <w:uiPriority w:val="99"/>
    <w:semiHidden/>
    <w:unhideWhenUsed/>
  </w:style>
  <w:style w:type="table" w:styleId="87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ScaleCrop>false</ScaleCrop>
  <SharedDoc>false</SharedDoc>
  <Template>Образец распоряжения администрации+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Татьяна Александровна</dc:creator>
  <cp:revision>61</cp:revision>
  <dcterms:created xsi:type="dcterms:W3CDTF">2022-04-15T04:20:00Z</dcterms:created>
  <dcterms:modified xsi:type="dcterms:W3CDTF">2025-01-21T04:17:00Z</dcterms:modified>
  <cp:version>983040</cp:version>
</cp:coreProperties>
</file>